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B73" w:rsidRPr="007B0B73" w:rsidRDefault="007B0B73" w:rsidP="007B0B73">
      <w:pPr>
        <w:pStyle w:val="NormalnyWeb"/>
      </w:pPr>
      <w:r>
        <w:t>Tez</w:t>
      </w:r>
      <w:r w:rsidRPr="007B0B73">
        <w:t>y na egzamin doktorski o. Ryszarda Matejuka</w:t>
      </w:r>
    </w:p>
    <w:p w:rsidR="00C03B3D" w:rsidRPr="007B0B73" w:rsidRDefault="00C03B3D" w:rsidP="00C03B3D">
      <w:pPr>
        <w:pStyle w:val="NormalnyWeb"/>
        <w:rPr>
          <w:lang w:val="en-US"/>
        </w:rPr>
      </w:pPr>
      <w:r w:rsidRPr="007B0B73">
        <w:rPr>
          <w:lang w:val="en-US"/>
        </w:rPr>
        <w:t xml:space="preserve">Ks. Prof. dr hab. Marian </w:t>
      </w:r>
      <w:proofErr w:type="spellStart"/>
      <w:r w:rsidRPr="007B0B73">
        <w:rPr>
          <w:lang w:val="en-US"/>
        </w:rPr>
        <w:t>Bendza</w:t>
      </w:r>
      <w:proofErr w:type="spellEnd"/>
    </w:p>
    <w:p w:rsidR="00C03B3D" w:rsidRPr="007B0B73" w:rsidRDefault="00C03B3D" w:rsidP="007B0B73">
      <w:pPr>
        <w:pStyle w:val="NormalnyWeb"/>
        <w:spacing w:before="0" w:beforeAutospacing="0" w:after="0" w:afterAutospacing="0" w:line="360" w:lineRule="auto"/>
      </w:pPr>
      <w:r w:rsidRPr="007B0B73">
        <w:t xml:space="preserve">1. Prowincjonalne Synody unickie (Zamojski 1720 oraz Lwowski 1891) i zmiany w sprawowaniu świętej Eucharystii. </w:t>
      </w:r>
    </w:p>
    <w:p w:rsidR="00C03B3D" w:rsidRPr="007B0B73" w:rsidRDefault="00C03B3D" w:rsidP="007B0B73">
      <w:pPr>
        <w:pStyle w:val="NormalnyWeb"/>
        <w:spacing w:before="0" w:beforeAutospacing="0" w:after="0" w:afterAutospacing="0" w:line="360" w:lineRule="auto"/>
      </w:pPr>
      <w:r w:rsidRPr="007B0B73">
        <w:t xml:space="preserve">2. Wpływ pojmowania misterium Eucharystycznego przez ks. prof. J. Klingera na plastyczne przedstawienie świętej Eucharystii w ikonografii sakralnej prof. J. Nowosielskiegio. </w:t>
      </w:r>
    </w:p>
    <w:p w:rsidR="00C03B3D" w:rsidRPr="007B0B73" w:rsidRDefault="00C03B3D" w:rsidP="007B0B73">
      <w:pPr>
        <w:pStyle w:val="NormalnyWeb"/>
        <w:spacing w:before="0" w:beforeAutospacing="0" w:after="0" w:afterAutospacing="0" w:line="360" w:lineRule="auto"/>
      </w:pPr>
      <w:r w:rsidRPr="007B0B73">
        <w:t xml:space="preserve">3. </w:t>
      </w:r>
      <w:proofErr w:type="spellStart"/>
      <w:r w:rsidRPr="007B0B73">
        <w:t>Euchologion</w:t>
      </w:r>
      <w:proofErr w:type="spellEnd"/>
      <w:r w:rsidRPr="007B0B73">
        <w:t xml:space="preserve"> Piotra </w:t>
      </w:r>
      <w:proofErr w:type="spellStart"/>
      <w:r w:rsidRPr="007B0B73">
        <w:t>Mohyły</w:t>
      </w:r>
      <w:proofErr w:type="spellEnd"/>
      <w:r w:rsidRPr="007B0B73">
        <w:t xml:space="preserve"> a </w:t>
      </w:r>
      <w:proofErr w:type="spellStart"/>
      <w:r w:rsidRPr="007B0B73">
        <w:t>Euchologion</w:t>
      </w:r>
      <w:proofErr w:type="spellEnd"/>
      <w:r w:rsidRPr="007B0B73">
        <w:t xml:space="preserve"> J. Goara OP. </w:t>
      </w:r>
    </w:p>
    <w:p w:rsidR="00C03B3D" w:rsidRPr="007B0B73" w:rsidRDefault="00C03B3D" w:rsidP="007B0B73">
      <w:pPr>
        <w:pStyle w:val="NormalnyWeb"/>
        <w:spacing w:before="0" w:beforeAutospacing="0" w:after="0" w:afterAutospacing="0" w:line="360" w:lineRule="auto"/>
      </w:pPr>
      <w:r w:rsidRPr="007B0B73">
        <w:t xml:space="preserve">4. Jak zrozumieć słowa prof. Nowosielskiego na temat ks. Klingera, że dzięki niemu możemy mówić o polskim prawosławiu? </w:t>
      </w:r>
    </w:p>
    <w:p w:rsidR="00C03B3D" w:rsidRPr="007B0B73" w:rsidRDefault="00C03B3D" w:rsidP="007B0B73">
      <w:pPr>
        <w:pStyle w:val="NormalnyWeb"/>
        <w:spacing w:before="0" w:beforeAutospacing="0" w:after="0" w:afterAutospacing="0" w:line="360" w:lineRule="auto"/>
      </w:pPr>
      <w:r w:rsidRPr="007B0B73">
        <w:t xml:space="preserve">5. Jak aktualnie Prawosławie patrzy na problem </w:t>
      </w:r>
      <w:proofErr w:type="spellStart"/>
      <w:r w:rsidRPr="007B0B73">
        <w:t>apokatastazy</w:t>
      </w:r>
      <w:proofErr w:type="spellEnd"/>
      <w:r w:rsidRPr="007B0B73">
        <w:t>.</w:t>
      </w:r>
    </w:p>
    <w:p w:rsidR="007B0B73" w:rsidRPr="007B0B73" w:rsidRDefault="007B0B73" w:rsidP="00C03B3D">
      <w:pPr>
        <w:pStyle w:val="NormalnyWeb"/>
      </w:pPr>
    </w:p>
    <w:p w:rsidR="007B0B73" w:rsidRPr="007B0B73" w:rsidRDefault="007B0B73" w:rsidP="00C03B3D">
      <w:pPr>
        <w:pStyle w:val="NormalnyWeb"/>
      </w:pPr>
    </w:p>
    <w:p w:rsidR="007B0B73" w:rsidRPr="007B0B73" w:rsidRDefault="007B0B73" w:rsidP="007B0B73">
      <w:pPr>
        <w:rPr>
          <w:rFonts w:ascii="Times New Roman" w:hAnsi="Times New Roman" w:cs="Times New Roman"/>
          <w:b/>
        </w:rPr>
      </w:pPr>
      <w:r w:rsidRPr="007B0B73">
        <w:rPr>
          <w:rFonts w:ascii="Times New Roman" w:hAnsi="Times New Roman" w:cs="Times New Roman"/>
          <w:b/>
        </w:rPr>
        <w:t xml:space="preserve">Tezy </w:t>
      </w:r>
      <w:r w:rsidRPr="007B0B73">
        <w:rPr>
          <w:rFonts w:ascii="Times New Roman" w:hAnsi="Times New Roman" w:cs="Times New Roman"/>
          <w:b/>
        </w:rPr>
        <w:t xml:space="preserve"> </w:t>
      </w:r>
      <w:r w:rsidRPr="007B0B73">
        <w:rPr>
          <w:rFonts w:ascii="Times New Roman" w:hAnsi="Times New Roman" w:cs="Times New Roman"/>
          <w:b/>
        </w:rPr>
        <w:t xml:space="preserve">Ks. Jarosław </w:t>
      </w:r>
      <w:proofErr w:type="spellStart"/>
      <w:r w:rsidRPr="007B0B73">
        <w:rPr>
          <w:rFonts w:ascii="Times New Roman" w:hAnsi="Times New Roman" w:cs="Times New Roman"/>
          <w:b/>
        </w:rPr>
        <w:t>Moskałyk</w:t>
      </w:r>
      <w:proofErr w:type="spellEnd"/>
      <w:r w:rsidRPr="007B0B73">
        <w:rPr>
          <w:rFonts w:ascii="Times New Roman" w:hAnsi="Times New Roman" w:cs="Times New Roman"/>
          <w:b/>
        </w:rPr>
        <w:t xml:space="preserve"> </w:t>
      </w:r>
    </w:p>
    <w:p w:rsidR="007B0B73" w:rsidRPr="007B0B73" w:rsidRDefault="007B0B73" w:rsidP="007B0B73">
      <w:pPr>
        <w:rPr>
          <w:rFonts w:ascii="Times New Roman" w:hAnsi="Times New Roman" w:cs="Times New Roman"/>
          <w:b/>
        </w:rPr>
      </w:pPr>
    </w:p>
    <w:p w:rsidR="007B0B73" w:rsidRPr="007B0B73" w:rsidRDefault="007B0B73" w:rsidP="007B0B73">
      <w:pPr>
        <w:spacing w:line="276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1. Na czym polega istota aktu stwórczego?</w:t>
      </w:r>
    </w:p>
    <w:p w:rsidR="007B0B73" w:rsidRPr="007B0B73" w:rsidRDefault="007B0B73" w:rsidP="007B0B73">
      <w:pPr>
        <w:spacing w:line="276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 xml:space="preserve">2. Przymioty działania Bożego </w:t>
      </w:r>
    </w:p>
    <w:p w:rsidR="007B0B73" w:rsidRPr="007B0B73" w:rsidRDefault="007B0B73" w:rsidP="007B0B73">
      <w:pPr>
        <w:spacing w:line="276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3. Dlaczego religijność człowieka jest określana jako misterium?</w:t>
      </w:r>
    </w:p>
    <w:p w:rsidR="007B0B73" w:rsidRPr="007B0B73" w:rsidRDefault="007B0B73" w:rsidP="007B0B73">
      <w:pPr>
        <w:spacing w:line="276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 xml:space="preserve">4. Pojęcie Eucharystii jako ofiary według teologii prawosławnej </w:t>
      </w:r>
    </w:p>
    <w:p w:rsidR="007B0B73" w:rsidRPr="007B0B73" w:rsidRDefault="007B0B73" w:rsidP="007B0B73">
      <w:pPr>
        <w:spacing w:line="276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5. Wschodnie rozumie ekonomii zbawienia</w:t>
      </w:r>
    </w:p>
    <w:p w:rsidR="007B0B73" w:rsidRDefault="007B0B73" w:rsidP="007B0B73">
      <w:pPr>
        <w:rPr>
          <w:rFonts w:ascii="Times New Roman" w:hAnsi="Times New Roman" w:cs="Times New Roman"/>
        </w:rPr>
      </w:pPr>
    </w:p>
    <w:p w:rsidR="007B0B73" w:rsidRDefault="007B0B73" w:rsidP="007B0B73">
      <w:pPr>
        <w:rPr>
          <w:rFonts w:ascii="Times New Roman" w:hAnsi="Times New Roman" w:cs="Times New Roman"/>
        </w:rPr>
      </w:pPr>
    </w:p>
    <w:p w:rsidR="007B0B73" w:rsidRPr="007B0B73" w:rsidRDefault="007B0B73" w:rsidP="007B0B73">
      <w:pPr>
        <w:rPr>
          <w:rFonts w:ascii="Times New Roman" w:hAnsi="Times New Roman" w:cs="Times New Roman"/>
        </w:rPr>
      </w:pPr>
      <w:bookmarkStart w:id="0" w:name="_GoBack"/>
      <w:bookmarkEnd w:id="0"/>
    </w:p>
    <w:p w:rsidR="00F420B6" w:rsidRPr="007B0B73" w:rsidRDefault="007B0B73">
      <w:pPr>
        <w:rPr>
          <w:rFonts w:ascii="Times New Roman" w:hAnsi="Times New Roman" w:cs="Times New Roman"/>
          <w:b/>
        </w:rPr>
      </w:pPr>
      <w:r w:rsidRPr="007B0B73">
        <w:rPr>
          <w:rFonts w:ascii="Times New Roman" w:hAnsi="Times New Roman" w:cs="Times New Roman"/>
          <w:b/>
        </w:rPr>
        <w:t>Tezy ks. prof. P. Jaskóła</w:t>
      </w:r>
    </w:p>
    <w:p w:rsidR="007B0B73" w:rsidRPr="007B0B73" w:rsidRDefault="007B0B73" w:rsidP="007B0B73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Znaczenie liturgii w życiu chrześcijanina prawosławnego</w:t>
      </w:r>
    </w:p>
    <w:p w:rsidR="007B0B73" w:rsidRPr="007B0B73" w:rsidRDefault="007B0B73" w:rsidP="007B0B73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Istotne cechy duchowości Kościołów Wschodnich</w:t>
      </w:r>
    </w:p>
    <w:p w:rsidR="007B0B73" w:rsidRDefault="007B0B73" w:rsidP="007B0B73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7B0B73">
        <w:rPr>
          <w:rFonts w:ascii="Times New Roman" w:hAnsi="Times New Roman" w:cs="Times New Roman"/>
        </w:rPr>
        <w:t>Istotne cechy</w:t>
      </w:r>
      <w:r>
        <w:rPr>
          <w:rFonts w:ascii="Times New Roman" w:hAnsi="Times New Roman" w:cs="Times New Roman"/>
        </w:rPr>
        <w:t xml:space="preserve"> mariologii prawosławnej</w:t>
      </w:r>
    </w:p>
    <w:p w:rsidR="007B0B73" w:rsidRDefault="007B0B73" w:rsidP="007B0B73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Stosunek prawosławia do ruchu ekumenicznego</w:t>
      </w:r>
    </w:p>
    <w:p w:rsidR="007B0B73" w:rsidRPr="007B0B73" w:rsidRDefault="007B0B73" w:rsidP="007B0B73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Problem tzw. </w:t>
      </w:r>
      <w:proofErr w:type="spellStart"/>
      <w:r>
        <w:rPr>
          <w:rFonts w:ascii="Times New Roman" w:hAnsi="Times New Roman" w:cs="Times New Roman"/>
        </w:rPr>
        <w:t>interkomunii</w:t>
      </w:r>
      <w:proofErr w:type="spellEnd"/>
      <w:r>
        <w:rPr>
          <w:rFonts w:ascii="Times New Roman" w:hAnsi="Times New Roman" w:cs="Times New Roman"/>
        </w:rPr>
        <w:t xml:space="preserve"> – prawosławny punkt widzenia</w:t>
      </w:r>
    </w:p>
    <w:sectPr w:rsidR="007B0B73" w:rsidRPr="007B0B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E3CED"/>
    <w:multiLevelType w:val="hybridMultilevel"/>
    <w:tmpl w:val="668A52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3D"/>
    <w:rsid w:val="007B0B73"/>
    <w:rsid w:val="00C03B3D"/>
    <w:rsid w:val="00F4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FD59C-313C-4DCC-BDF7-487C8681D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03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3B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3B3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B0B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1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KOTYŃSKI</dc:creator>
  <cp:keywords/>
  <dc:description/>
  <cp:lastModifiedBy>MAREK KOTYŃSKI</cp:lastModifiedBy>
  <cp:revision>2</cp:revision>
  <cp:lastPrinted>2016-09-29T07:16:00Z</cp:lastPrinted>
  <dcterms:created xsi:type="dcterms:W3CDTF">2016-09-29T07:48:00Z</dcterms:created>
  <dcterms:modified xsi:type="dcterms:W3CDTF">2016-09-29T07:48:00Z</dcterms:modified>
</cp:coreProperties>
</file>